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NW_26994 (Nordrhein-Westfalen) — Ausnahmen(Zu §§ 9 und 10 Bundeswaldgesetz)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Einer Umwandlungsgenehmigung nach §§ 39 und 40 bedarf es nicht bei Waldflächen, für die</w:t>
      </w:r>
    </w:p>
    <w:p>
      <w:r>
        <w:t xml:space="preserve">a) in einem Bebauungsplan nach § 30 Baugesetzbuch oder innerhalb der im Zusammenhang bebauten Ortsteile nach § 34 Baugesetzbuch,</w:t>
      </w:r>
    </w:p>
    <w:p>
      <w:r>
        <w:t xml:space="preserve">b) in einem Landschaftsplan oder im Geltungsbereich einer ordnungsbehördlichen Verordnung nach § 43 des Landesnaturschutzgesetzes, einem Flurbereinigungsplan, einem Zusammenlegungsplan, einem Auseinandersetzungsplan oder aufgrund sonstiger Festsetzungen nach dem Flurbereinigungsgesetz oder dem Gesetz über die Gemeinheitsteilung und Reallastenlösung,</w:t>
      </w:r>
    </w:p>
    <w:p>
      <w:r>
        <w:t xml:space="preserve">c) in einem Planfeststellungsbeschluss in einer Plangenehmigung oder</w:t>
      </w:r>
    </w:p>
    <w:p>
      <w:r>
        <w:t xml:space="preserve">d) in einem Braunkohlenplan</w:t>
      </w:r>
    </w:p>
    <w:p>
      <w:r>
        <w:t xml:space="preserve">eine anderweitige Nutzung vorgesehen ist oder für Waldflächen, die im Rahmen von § 30 Absatz 2 Nummer 3 des Landesnaturschutzgesetzes auf Zeit entstanden sind. Für unbedingt oder nach Vorprüfung UVP-pflichtiger Vorhaben im Sinne der Anlage 1 Nummer 17.1 und 17.2 des Gesetzes über die Umweltverträglichkeitsprüfung gilt Satz 1 Buchstabe d nur dann, wenn im Verfahren zur Aufstellung des Braunkohlenplans eine Umweltverträglichkeitsprüfung durchgeführt wurde.</w:t>
      </w:r>
    </w:p>
    <w:p>
      <w:r>
        <w:t xml:space="preserve">(2) Absatz 1 findet auf Anträge zur Erteilung der Genehmigung zur Erstaufforstung entsprechende Anwendung.</w:t>
      </w:r>
    </w:p>
    <w:p>
      <w:r>
        <w:rPr>
          <w:color w:val="555555"/>
          <w:sz w:val="17"/>
        </w:rPr>
        <w:t xml:space="preserve">Zitiervorschlag: § 43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