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NW_26994 (Nordrhein-Westfalen) — Befristete Umwandlung(Zu § 9 Bundeswaldgesetz)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befristete Umwandlung kann zugelassen werden, wenn</w:t>
      </w:r>
    </w:p>
    <w:p>
      <w:r>
        <w:t xml:space="preserve">1. ein besonderes wirtschaftliches Interesse des Waldbesitzers oder ein öffentliches Interesse an einer vorübergehenden anderweitigen Nutzung der Fläche besteht,</w:t>
      </w:r>
    </w:p>
    <w:p>
      <w:r>
        <w:t xml:space="preserve">2. die Leistungsfähigkeit des Naturhaushalts, die forstwirtschaftliche Erzeugung, das Landschaftsbild, die Erholung der Bevölkerung, der Schutz natürlicher Bodenfunktionen im Sinne des Bundes-Bodenschutzgesetzes oder der Schutz gegen schädliche Umwelteinwirkungen im Sinne des Bundesimmissionsschutzgesetzes durch eine vorübergehende anderweitige Nutzung der Fläche nicht beeinträchtigt werden und</w:t>
      </w:r>
    </w:p>
    <w:p>
      <w:r>
        <w:t xml:space="preserve">3. durch Nebenbestimmungen sichergestellt wird, daß die Fläche bis zum Ablauf einer angemessenen Frist nach den in Absatz 2 bezeichneten Plänen ordnungsgemäß wieder aufgeforstet wird.</w:t>
      </w:r>
    </w:p>
    <w:p>
      <w:r>
        <w:t xml:space="preserve">(2) Der Antragsteller hat Pläne und Erläuterungen für das gesamte Vorhaben sowie für die Wiederaufforstung vorzulegen.</w:t>
      </w:r>
    </w:p>
    <w:p>
      <w:r>
        <w:t xml:space="preserve">(3) § 39 Abs. 2 Satz 2 sowie Absatz 3 Satz 2 und die Absätze 4 und 5 finden entsprechende Anwendung.</w:t>
      </w:r>
    </w:p>
    <w:p>
      <w:r>
        <w:rPr>
          <w:color w:val="555555"/>
          <w:sz w:val="17"/>
        </w:rPr>
        <w:t xml:space="preserve">Zitiervorschlag: § 40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