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NW_26994 (Nordrhein-Westfalen) — Umwandlung(Zu § 9 Bundeswaldgesetz)</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Umwandlung von Wald in eine andere Nutzungsart bedarf der Genehmigung durch die Forstbehörde. Soweit für die Umwandlung nach §§ 6 bis 14 in Verbindung mit Nummer 17.2 der Anlage 1 des Gesetzes über die Umweltverträglichkeitsprüfung in der Fassung der Bekanntmachung vom 24. Februar 2010 (BGBl. I S. 94), das zuletzt durch Artikel 2 des Gesetzes vom 8. September 2017 (BGBl. I S. 3370) geändert worden ist, eine Vorprüfung des Einzelfalls und eine Umweltverträglichkeitsprüfung durchzuführen ist, müssen die Vorprüfung des Einzelfalles sowie die Durchführung der Umweltverträglichkeitsprüfung den Anforderungen des Landesumweltverträglichkeitsprüfungsgesetzes vom 29. April 1992 (GV. NRW. S. 175), das zuletzt durch Artikel 1 des Gesetzes vom 26. März 2019 (GV. NRW. S. 193) geändert worden ist, entsprechen. Sofern die Genehmigung erforderlich ist für ein Vorhaben, für das nach Bundes- oder Landesrecht eine Umweltverträglichkeitsprüfung durchgeführt wird, kann die Genehmigung nur in einem Verfahren erteilt werden, das den Anforderungen des Landesumweltverträglichkeitsprüfungsgesetzes entspricht; § 43 bleibt unberührt.</w:t>
      </w:r>
    </w:p>
    <w:p>
      <w:r>
        <w:t xml:space="preserve">(2) Bei der Entscheidung über einen Umwandlungsantrag hat die Forstbehörde unter Beachtung der Ziele und Erfordernisse der Landesplanung die Rechte, Pflichten und wirtschaftlichen Interessen desWaldbesitzers sowie die Belange der Allgemeinheit gegeneinander und untereinander unter dem Gesichtspunkt abzuwägen, welche Nutzungsart auf die Dauer für das Gemeinwohl von größerer Bedeutung ist. Forstliche Belange benachbarter Waldbesitzer sind angemessen zu berücksichtigen.</w:t>
      </w:r>
    </w:p>
    <w:p>
      <w:r>
        <w:t xml:space="preserve">(3) Die Genehmigung soll versagt werden, wenn die Erhaltung des Waldes im überwiegenden öffentlichen Interesse liegt, insbesondere wenn der Wald in der Gemeinde einen geringen Flächenanteil hat oder für die Leistungsfähigkeit des Naturhaushaltes, den Schutz natürlicher Bodenfunktionen im Sinne des Bundes-Bodenschutzgesetzes, die forstwirtschaftliche Erzeugung, das Landschaftsbild oder die Erholung der Bevölkerung von wesentlicher Bedeutung ist oder dem Schutz gegen schädliche Umwelteinwirkungen im Sinne des Bundesimmissionsschutzgesetzes dient und die nachteiligen Wirkungen der Umwandlungen nicht durch Nebenbestimmungen, insbesondere durch die Verpflichtung, Ersatzaufforstungen durch Saat oder Pflanzung vorzunehmen, ganz oder zum wesentlichen Teil abgewendet werden können. Im Rahmen der Genehmigung kann die Forstbehörde als Ersatzaufforstung auch die flächendeckende Entwicklung von Wald durch die natürliche Ansamung von Forstpflanzen zulassen. Um die Erfüllung von Nebenbestimmungen zu gewährleisten, kann die Hinterlegung von Geldbeträgen oder sonstige Sicherheit gefordert werden. Vor einer Versagung der Umwandlungsgenehmigung ist der jeweiligen Gemeinde Gelegenheit zur Stellungnahme zu geben.</w:t>
      </w:r>
    </w:p>
    <w:p>
      <w:r>
        <w:t xml:space="preserve">(4) Die Umwandlung von Schutz- und Erholungswald darf nur bei einem überwiegenden öffentlichen Interesse genehmigt werden.</w:t>
      </w:r>
    </w:p>
    <w:p>
      <w:r>
        <w:t xml:space="preserve">(5) Die Vorschriften des Landesnaturschutzgesetz bleiben unberührt.</w:t>
      </w:r>
    </w:p>
    <w:p>
      <w:r>
        <w:rPr>
          <w:color w:val="555555"/>
          <w:sz w:val="17"/>
        </w:rPr>
        <w:t xml:space="preserve">Zitiervorschlag: § 39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