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NW_26994 (Nordrhein-Westfalen) — Ausnahmen</w:t>
      </w:r>
    </w:p>
    <w:p>
      <w:r>
        <w:rPr>
          <w:color w:val="555555"/>
          <w:sz w:val="18"/>
        </w:rPr>
        <w:t xml:space="preserve">Landesforstgesetz für das Land Nordrhein-Westfalen (Landesforstgesetz - LFoG),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37 gilt nicht für Kirchen und Religionsgemeinschaften und die ihnen zugehörigen Körperschaften, Anstalten und Stiftungen des öffentlichen Rechts; für diese entfällt die Einschränkung des § 11 Abs. 2 Satz 2.</w:t>
      </w:r>
    </w:p>
    <w:p>
      <w:r>
        <w:t xml:space="preserve">Kapitel IV</w:t>
      </w:r>
    </w:p>
    <w:p>
      <w:r>
        <w:t xml:space="preserve">Erhaltung und Vermehrung</w:t>
      </w:r>
    </w:p>
    <w:p>
      <w:r>
        <w:t xml:space="preserve">des Waldbestandes</w:t>
      </w:r>
    </w:p>
    <w:p>
      <w:r>
        <w:t xml:space="preserve">Erster Abschnitt</w:t>
      </w:r>
    </w:p>
    <w:p>
      <w:r>
        <w:t xml:space="preserve">Umwandlung und Aufforstung</w:t>
      </w:r>
    </w:p>
    <w:p>
      <w:r>
        <w:rPr>
          <w:color w:val="555555"/>
          <w:sz w:val="17"/>
        </w:rPr>
        <w:t xml:space="preserve">Zitiervorschlag: § 38 NW_26994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https://recht.nulegal.eu/gesetze/NW_26994/38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