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NW_26994 (Nordrhein-Westfalen) — Rechtsverordnung</w:t>
      </w:r>
    </w:p>
    <w:p>
      <w:r>
        <w:rPr>
          <w:color w:val="555555"/>
          <w:sz w:val="18"/>
        </w:rPr>
        <w:t xml:space="preserve">Landesforstgesetz für das Land Nordrhein-Westfalen (Landesforstgesetz - LFoG),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Ministerium regelt nach Beratung mit dem zuständigen Ausschuss des Landtags durch Rechtsverordnung im Einvernehmen mit dem Innenministerium die Form und den Mindestinhalt der Betriebspläne, Betriebsgutachten und Wirtschaftspläne der Gemeinden.</w:t>
      </w:r>
    </w:p>
    <w:p>
      <w:r>
        <w:t xml:space="preserve">Dritter Abschnitt</w:t>
      </w:r>
    </w:p>
    <w:p>
      <w:r>
        <w:t xml:space="preserve">Wald anderer juristischer Personen</w:t>
      </w:r>
    </w:p>
    <w:p>
      <w:r>
        <w:t xml:space="preserve">des öffentlichen Rechts</w:t>
      </w:r>
    </w:p>
    <w:p>
      <w:r>
        <w:rPr>
          <w:color w:val="555555"/>
          <w:sz w:val="17"/>
        </w:rPr>
        <w:t xml:space="preserve">Zitiervorschlag: § 36 NW_26994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https://recht.nulegal.eu/gesetze/NW_26994/36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