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3 NW_26994 (Nordrhein-Westfalen) — Betretungsverbote(Zu § 14 Bundeswaldgesetz)</w:t>
      </w:r>
    </w:p>
    <w:p>
      <w:r>
        <w:rPr>
          <w:color w:val="555555"/>
          <w:sz w:val="18"/>
        </w:rPr>
        <w:t xml:space="preserve">Landesforstgesetz für das Land Nordrhein-Westfalen (Landesforstgesetz - LFoG), Bekanntmachung der Neufassung</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Verboten ist das</w:t>
      </w:r>
    </w:p>
    <w:p>
      <w:r>
        <w:t xml:space="preserve">a) Betreten von Forstkulturen, Forstdickungen, Saatkämpen und Pflanzgärten,</w:t>
      </w:r>
    </w:p>
    <w:p>
      <w:r>
        <w:t xml:space="preserve">b) Betreten ordnungsgemäß als gesperrt gekennzeichneter Waldflächen,</w:t>
      </w:r>
    </w:p>
    <w:p>
      <w:r>
        <w:t xml:space="preserve">c) Betreten von Waldflächen, während auf ihnen Holz eingeschlagen oder aufbereitet wird,</w:t>
      </w:r>
    </w:p>
    <w:p>
      <w:r>
        <w:t xml:space="preserve">d) Betreten von forstwirtschaftlichen, jagdlichen, imkerlichen und teichwirtschaftlichen Einrichtungen im Wald und</w:t>
      </w:r>
    </w:p>
    <w:p>
      <w:r>
        <w:t xml:space="preserve">e) Fahren im Wald mit Ausnahme des Radfahrens und des Fahrens mit Krankenfahrstühlen auf Straßen und festen Wegen sowie das Zelten und das Abstellen von Wohnwagen und Kraftfahrzeugen im Wald,</w:t>
      </w:r>
    </w:p>
    <w:p>
      <w:r>
        <w:t xml:space="preserve">soweit hierfür nicht eine besondere Befugnis vorliegt. Verboten ist ferner das Reiten im Wald, soweit es nicht nach den Bestimmungen des Landesnaturschutzgesetzes vom 21. Juli 2000 (GV. NRW. S. 568), das durch Artikel 1 des Gesetzes vom 15. November 2016 (GV. NRW. S. 934) neu gefasst worden ist, gestattet ist oder hierfür nicht eine besondere Befugnis vorliegt, der Verbote nach anderen Rechtsvorschriften nicht entgegenstehen.</w:t>
      </w:r>
    </w:p>
    <w:p>
      <w:r>
        <w:t xml:space="preserve">(2) Zum Schutz von Forstkulturen, Saatkämpen und Pflanzgärten sind Eingatterungen zulässig; bei Flächen von mehr als 10 ha Größe bedarf es der vorherigen Genehmigung durch die Forstbehörde. Für die Genehmigung, die Kennzeichnung der eingegatterten Flächen und die Beseitigung ungenehmigter Eingatterungen gelten die Vorschriften über das Sperren von Waldflächen (§ 4 Abs. 2 bis 5).</w:t>
      </w:r>
    </w:p>
    <w:p>
      <w:r>
        <w:t xml:space="preserve">(3) Eingatterungen aus waldfremden Materialien sind mit dem Wegfall des Schutzzweckes von dem Waldbesitzer unverzüglich zu entfernen. Wird dieser Verpflichtung nicht nachgekommen, gilt § 4 Absatz 5 entsprechend.</w:t>
      </w:r>
    </w:p>
    <w:p>
      <w:r>
        <w:rPr>
          <w:color w:val="555555"/>
          <w:sz w:val="17"/>
        </w:rPr>
        <w:t xml:space="preserve">Zitiervorschlag: § 3 NW_26994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https://recht.nulegal.eu/gesetze/NW_26994/3</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