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NW_26994 (Nordrhein-Westfalen) — Satzung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Satzung regelt die Rechtsverhältnisse der Waldwirtschaftsgenossenschaft im Rahmen dieses Gesetzes.</w:t>
      </w:r>
    </w:p>
    <w:p>
      <w:r>
        <w:t xml:space="preserve">(2) Die Satzung regelt insbesondere</w:t>
      </w:r>
    </w:p>
    <w:p>
      <w:r>
        <w:t xml:space="preserve">1. den Namen und den Sitz der Waldwirtschaftsgenossenschaft,</w:t>
      </w:r>
    </w:p>
    <w:p>
      <w:r>
        <w:t xml:space="preserve">2. die Aufgaben der Waldwirtschaftsgenossenschaft,</w:t>
      </w:r>
    </w:p>
    <w:p>
      <w:r>
        <w:t xml:space="preserve">3. die Rechte und Pflichten der Mitglieder,</w:t>
      </w:r>
    </w:p>
    <w:p>
      <w:r>
        <w:t xml:space="preserve">4. Stimmrecht der Mitglieder nach Maßgabe des § 21 Abs. 3,</w:t>
      </w:r>
    </w:p>
    <w:p>
      <w:r>
        <w:t xml:space="preserve">5. die Verfassung, Verwaltung und Vertretung der Waldwirtschaftsgenossenschaft,</w:t>
      </w:r>
    </w:p>
    <w:p>
      <w:r>
        <w:t xml:space="preserve">6. den Maßstab für die Umlagen und die Bemessungsgrundlage für die Gebühren und Beiträge,</w:t>
      </w:r>
    </w:p>
    <w:p>
      <w:r>
        <w:t xml:space="preserve">7. das Haushaltswesen, die Wirtschafts- und Kassenführung, die Rechnungsführung und Rechnungsprüfung sowie die Entlastung,</w:t>
      </w:r>
    </w:p>
    <w:p>
      <w:r>
        <w:t xml:space="preserve">8. die Verwendung des Vermögens bei Auflösung der Waldwirtschaftsgenossenschaft.</w:t>
      </w:r>
    </w:p>
    <w:p>
      <w:r>
        <w:rPr>
          <w:color w:val="555555"/>
          <w:sz w:val="17"/>
        </w:rPr>
        <w:t xml:space="preserve">Zitiervorschlag: § 24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