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NW_26994 (Nordrhein-Westfalen) — Vorstand</w:t>
      </w:r>
    </w:p>
    <w:p>
      <w:r>
        <w:rPr>
          <w:color w:val="555555"/>
          <w:sz w:val="18"/>
        </w:rPr>
        <w:t xml:space="preserve">Landesforstgesetz für das Land Nordrhein-Westfalen (Landesforstgesetz - LFoG),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Vorstand der Waldwirtschaftsgenossenschaft besteht aus dem Vorsitzenden und mindestens zwei weiteren Mitgliedern.</w:t>
      </w:r>
    </w:p>
    <w:p>
      <w:r>
        <w:t xml:space="preserve">(2) Der Vorstand führt die laufenden Geschäfte sowie nach Maßgabe der Gesetze, der Satzung und der Beschlüsse der Genossenschaftsversammlung die übrige Verwaltung der Waldwirtschaftsgenossenschaft und vertritt die Waldwirtschaftsgenossenschaft gerichtlich und außergerichtlich.</w:t>
      </w:r>
    </w:p>
    <w:p>
      <w:r>
        <w:rPr>
          <w:color w:val="555555"/>
          <w:sz w:val="17"/>
        </w:rPr>
        <w:t xml:space="preserve">Zitiervorschlag: § 22 NW_26994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https://recht.nulegal.eu/gesetze/NW_26994/22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