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NW_26994 (Nordrhein-Westfalen) — Mitgliedschaft</w:t>
      </w:r>
    </w:p>
    <w:p>
      <w:r>
        <w:rPr>
          <w:color w:val="555555"/>
          <w:sz w:val="18"/>
        </w:rPr>
        <w:t xml:space="preserve">Landesforstgesetz für das Land Nordrhein-Westfalen (Landesforstgesetz - LFoG),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Mitglieder der Waldwirtschaftsgenossenschaft sind die jeweiligen Eigentümer der zusammengeschlossenen Grundstücke. Die Satzung kann den Beitritt von Eigentümern anderer Grundstücke als Mitglieder regeln.</w:t>
      </w:r>
    </w:p>
    <w:p>
      <w:r>
        <w:t xml:space="preserve">(2) Ist ein anderer als der Eigentümer Nutzungsberechtigter, so kann er mit Einverständnis des Eigentümers für die Dauer der Nutzungsberechtigung dessen Rechte und Pflichten übernehmen. Die Übernahme der Rechte und Pflichten durch den Nutzungsberechtigten sowie das Einverständnis des Eigentümers sind schriftlich gegenüber der Waldwirtschaftsgenossenschaft zu erklären.</w:t>
      </w:r>
    </w:p>
    <w:p>
      <w:r>
        <w:rPr>
          <w:color w:val="555555"/>
          <w:sz w:val="17"/>
        </w:rPr>
        <w:t xml:space="preserve">Zitiervorschlag: § 18 NW_26994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https://recht.nulegal.eu/gesetze/NW_26994/18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