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NW_26992 (Nordrhein-Westfalen) — Aufhebung bestehender Vorschriften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 dem Inkrafttreten dieses Gesetzes treten alle Vorschriften außer Kraft, deren Gegenstände in diesem Gesetz geregelt sind oder die diesem Gesetz widersprechen.</w:t>
      </w:r>
    </w:p>
    <w:p>
      <w:r>
        <w:t xml:space="preserve">(2) Soweit in Rechtsvorschriften auf die nach Absatz 1 außer Kraft getretenen Vorschriften verwiesen ist, treten die entsprechenden Vorschriften dieses Gesetzes oder die auf Grund dieses Gesetzes erlassenen Vorschriften an ihre Stelle.</w:t>
      </w:r>
    </w:p>
    <w:p>
      <w:r>
        <w:rPr>
          <w:color w:val="555555"/>
          <w:sz w:val="17"/>
        </w:rPr>
        <w:t xml:space="preserve">Zitiervorschlag: § 53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https://recht.nulegal.eu/gesetze/NW_26992/53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