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NW_26992 (Nordrhein-Westfalen) — Amtshilfe, Führung der Kassengeschäfte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Gerichte, Gemeinden, Gemeindeverbände, Kataster- und Flurbereinigungsbehörden haben den Waldgenossenschaften erforderliche Auskünfte zu geben.</w:t>
      </w:r>
    </w:p>
    <w:p>
      <w:r>
        <w:t xml:space="preserve">(2) Die Waldgenossenschaft kann die Kassengeschäfte von der für das Mahn- und Vollstreckungsverfahren bestimmten zentralen Stelle der Gemeinde besorgen lassen. Der Gemeinde ist für die Erledigung eine angemessene Vergütung zu zahlen.</w:t>
      </w:r>
    </w:p>
    <w:p>
      <w:r>
        <w:t xml:space="preserve">(3) Die für das Mahn- und Vollstreckungsverfahren bestimmten zentralen Stellen der Gemeinden sind für die Waldgenossenschaften Vollstreckungsbehörden im Sinne des Verwaltungsvollstreckungsgesetzes NRW (VwVG NRW). Für die Festlegung des Kostenbeitrags gilt § 2 Abs. 2 Satz 4 VwVG NRW.</w:t>
      </w:r>
    </w:p>
    <w:p>
      <w:r>
        <w:t xml:space="preserve">Dritter Abschnitt</w:t>
      </w:r>
    </w:p>
    <w:p>
      <w:r>
        <w:t xml:space="preserve">Bewirtschaftungsgrundsätze</w:t>
      </w:r>
    </w:p>
    <w:p>
      <w:r>
        <w:rPr>
          <w:color w:val="555555"/>
          <w:sz w:val="17"/>
        </w:rPr>
        <w:t xml:space="preserve">Zitiervorschlag: § 20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