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NW_26985 (Nordrhein-Westfalen)</w:t>
      </w:r>
    </w:p>
    <w:p>
      <w:r>
        <w:rPr>
          <w:color w:val="555555"/>
          <w:sz w:val="18"/>
        </w:rPr>
        <w:t xml:space="preserve">Verordnung zur Ausführung der Zweiundzwanzigsten Durchführungsverordnung zum Marktstrukturgesetz: Pflanzliche Erzeugnisse zur technischen Verwendung oder Energiegewinnung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Mindestmenge eines Liefervertrages nach § 6 Abs. 1 Nr. 4 des Marktstrukturgesetzes wird auf die sich aus § 1 ergebende Erntemenge festgesetzt. Werden Lieferverträge mit Zustimmung der Erzeugergemeinschaft unmittelbar zwischen Mitgliedern der Erzeugergemeinschaft und einem Unternehmen abgeschlossen, so gelten diese Lieferverträge für die Berechnung der Mindestmenge nach Satz 1 als ein Liefervertrag.</w:t>
      </w:r>
    </w:p>
    <w:p>
      <w:r>
        <w:t xml:space="preserve">(2) Die Mindestdauer eines Liefervertrages nach § 6 Abs. 1 Nr. 5 des Marktstrukturgesetzes wird auf 5 Jahre festgesetzt.</w:t>
      </w:r>
    </w:p>
    <w:p>
      <w:r>
        <w:rPr>
          <w:color w:val="555555"/>
          <w:sz w:val="17"/>
        </w:rPr>
        <w:t xml:space="preserve">Zitiervorschlag: § 2 NW_26985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https://recht.nulegal.eu/gesetze/NW_26985/2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