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NW_26976 (Nordrhein-Westfalen)</w:t>
      </w:r>
    </w:p>
    <w:p>
      <w:r>
        <w:rPr>
          <w:color w:val="555555"/>
          <w:sz w:val="18"/>
        </w:rPr>
        <w:t xml:space="preserve">Verordnung über Umlagen zur Förderung der Milchwirtschaft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Molkereien sind verpflichtet, bis spätestens zum 15. eines jeden Monats eine Vorauszahlung in Höhe des Umlageanteils zu leisten, der auf den Vormonat entfällt.</w:t>
      </w:r>
    </w:p>
    <w:p>
      <w:r>
        <w:t xml:space="preserve">(2) Das Landesamt für Verbraucherschutz und Ernährung kann Umlageschuldner auch zu Vorauszahlungen veranlagen.</w:t>
      </w:r>
    </w:p>
    <w:p>
      <w:r>
        <w:rPr>
          <w:color w:val="555555"/>
          <w:sz w:val="17"/>
        </w:rPr>
        <w:t xml:space="preserve">Zitiervorschlag: § 3 NW_26976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