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NW_26976 (Nordrhein-Westfalen)</w:t>
      </w:r>
    </w:p>
    <w:p>
      <w:r>
        <w:rPr>
          <w:color w:val="555555"/>
          <w:sz w:val="18"/>
        </w:rPr>
        <w:t xml:space="preserve">Verordnung über Umlagen zur Förderung der Milchwirtschaft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Molkereien werden vierteljährlich auf Grund der von ihnen abgegebenen statistischen Meldungen durch das Landesamt für Verbraucherschutz und Ernährung zur Zahlung der Umlage veranlagt.</w:t>
      </w:r>
    </w:p>
    <w:p>
      <w:r>
        <w:t xml:space="preserve">(2) Werden die für die Veranlagung erforderlichen Angaben nicht, nicht rechtzeitig, unrichtig oder unvollständig gemacht, so kann auf Grund einer Schätzung veranlagt werden.</w:t>
      </w:r>
    </w:p>
    <w:p>
      <w:r>
        <w:rPr>
          <w:color w:val="555555"/>
          <w:sz w:val="17"/>
        </w:rPr>
        <w:t xml:space="preserve">Zitiervorschlag: § 2 NW_26976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