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NW_26946 (Nordrhein-Westfalen)</w:t>
      </w:r>
    </w:p>
    <w:p>
      <w:r>
        <w:rPr>
          <w:color w:val="555555"/>
          <w:sz w:val="18"/>
        </w:rPr>
        <w:t xml:space="preserve">Verordnung zur Feststellung des Erbbrauchs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1977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NW_26946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https://recht.nulegal.eu/gesetze/NW_26946/2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