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NW_26945 (Nordrhein-Westfalen) — In-Kraft-Treten, Berichtspflicht</w:t>
      </w:r>
    </w:p>
    <w:p>
      <w:r>
        <w:rPr>
          <w:color w:val="555555"/>
          <w:sz w:val="18"/>
        </w:rPr>
        <w:t xml:space="preserve">Verordnung über die Bestimmung der Freigrenze nach dem Landpachtverkehrsgesetz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 Über die Erfahrungen mit dieser Verordnung ist der Landesregierung bis zum 31. Dezember 2009 zu berichten.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NW_26945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https://recht.nulegal.eu/gesetze/NW_26945/2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