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NW_26945 (Nordrhein-Westfalen)</w:t>
      </w:r>
    </w:p>
    <w:p>
      <w:r>
        <w:rPr>
          <w:color w:val="555555"/>
          <w:sz w:val="18"/>
        </w:rPr>
        <w:t xml:space="preserve">Verordnung über die Bestimmung der Freigrenze nach dem Landpachtverkehrsgesetz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Von der Anzeigepflicht nach § 2 Abs. 1 des Landpachtverkehrsgesetzes sind Landpachtverträge über landwirtschaftliche Betriebe oder Grundstücke bis zu einer Größe von 1 ha ausgenommen.</w:t>
      </w:r>
    </w:p>
    <w:p>
      <w:r>
        <w:rPr>
          <w:color w:val="555555"/>
          <w:sz w:val="17"/>
        </w:rPr>
        <w:t xml:space="preserve">Zitiervorschlag: § 1 NW_26945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https://recht.nulegal.eu/gesetze/NW_26945/1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