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NW_26936 (Nordrhein-Westfalen)</w:t>
      </w:r>
    </w:p>
    <w:p>
      <w:r>
        <w:rPr>
          <w:color w:val="555555"/>
          <w:sz w:val="18"/>
        </w:rPr>
        <w:t xml:space="preserve">Gesetz über Landeskulturbehörden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Oktober 1919 in Kraft.... Über die Erfahrungen mit diesem Gesetz ist dem Landtag bis zum 31. Dezember 2011 zu berichten.</w:t>
      </w:r>
    </w:p>
    <w:p>
      <w:r>
        <w:t xml:space="preserve">(2) .</w:t>
      </w:r>
    </w:p>
    <w:p>
      <w:r>
        <w:rPr>
          <w:color w:val="555555"/>
          <w:sz w:val="17"/>
        </w:rPr>
        <w:t xml:space="preserve">Zitiervorschlag: § 33 NW_26936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https://recht.nulegal.eu/gesetze/NW_26936/33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