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NW_26936 (Nordrhein-Westfalen)</w:t>
      </w:r>
    </w:p>
    <w:p>
      <w:r>
        <w:rPr>
          <w:color w:val="555555"/>
          <w:sz w:val="18"/>
        </w:rPr>
        <w:t xml:space="preserve">Gesetz über Landeskulturbehörden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Erledigung der Geschäfte sind, unbeschadet der Vorschrift des § 10, das Amt für Agrarordnung und die Bezirksregierung Münster - obere Flurbereinigungsbehörde - zuständig.</w:t>
      </w:r>
    </w:p>
    <w:p>
      <w:r>
        <w:t xml:space="preserve">(2) .</w:t>
      </w:r>
    </w:p>
    <w:p>
      <w:r>
        <w:t xml:space="preserve">(3) Liegen die Grundstücke in mehreren Bezirken oder ist es zweifelhaft, zu welchem Bezirk sie gehören, so wird das zuständige Amt für Agrarordnung durch die Bezirksregierung Münster - obere Flurbereinigungsbehörde - bestimmt.</w:t>
      </w:r>
    </w:p>
    <w:p>
      <w:r>
        <w:t xml:space="preserve">(4) Ist im Sinne dieser Vorschriften eine Behörde für zuständig erklärt, so finden auf ihr Verfahren diejenigen Vorschriften Anwendung, welche für die übrigen zu ihrer Zuständigkeit gehörigen gleichartigen Geschäfte gelten.</w:t>
      </w:r>
    </w:p>
    <w:p>
      <w:r>
        <w:t xml:space="preserve">§§ 14-31</w:t>
      </w:r>
    </w:p>
    <w:p>
      <w:r>
        <w:t xml:space="preserve">V. Schluß- und Übergangsvorschriften</w:t>
      </w:r>
    </w:p>
    <w:p>
      <w:r>
        <w:rPr>
          <w:color w:val="555555"/>
          <w:sz w:val="17"/>
        </w:rPr>
        <w:t xml:space="preserve">Zitiervorschlag: § 13 NW_26936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