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NW_26932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für die Trinkwassergewinnungsanlagen Tiefbrunnen "Helmighausen" und "Hesperinghausen"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des Wasserschutzgebietes für die Trinkwassergewinnungsanlagen Tiefbrunnen ,,Helmighausen" und ,,Hesperinghausen" in der Stadt Diemelstadt, Landkreis Waldeck-Frankenberg und der Stadt Marsberg, Hochsauerlandkreis, ist das Regierungspräsidium Kassel. Dieses handelt unter Anwendung des in Nordrhein-Westfalen geltenden Rechts im Einvernehmen mit der Bezirksregierung Arnsberg, soweit sich das Vorhaben auf Flächen im Land Nordrhein-Westfalen erstreckt. Entsprechendes gilt auch für die Durchführung von Ausgleichs- und Entschädigungsverfahren.</w:t>
      </w:r>
    </w:p>
    <w:p>
      <w:r>
        <w:rPr>
          <w:color w:val="555555"/>
          <w:sz w:val="17"/>
        </w:rPr>
        <w:t xml:space="preserve">Zitiervorschlag: § 1 NW_26932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