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NW_26931 (Nordrhein-Westfalen) — Mitgliederverzeichnis(zu § 6 Abs. 3 AggerVG)</w:t>
      </w:r>
    </w:p>
    <w:p>
      <w:r>
        <w:rPr>
          <w:color w:val="555555"/>
          <w:sz w:val="18"/>
        </w:rPr>
        <w:t xml:space="preserve">Satzung für den Aggerverband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Mitgliederverzeichnis wird vom Vorstand aufgestellt und aufgrund der festgesetzten Beiträge jährlich fortgeführt.</w:t>
      </w:r>
    </w:p>
    <w:p>
      <w:r>
        <w:t xml:space="preserve">Es ist entsprechend den Mitgliedergruppen nach § 6 Abs. 1 Nrn. 1 bis 4 AggerVG zu ordnen.</w:t>
      </w:r>
    </w:p>
    <w:p>
      <w:r>
        <w:t xml:space="preserve">Das jeweils gültige Mitgliederverzeichnis steht jedem, der ein berechtigtes Interesse darlegt, bei der Geschäftsstelle zur Einsicht offen.</w:t>
      </w:r>
    </w:p>
    <w:p>
      <w:r>
        <w:rPr>
          <w:color w:val="555555"/>
          <w:sz w:val="17"/>
        </w:rPr>
        <w:t xml:space="preserve">Zitiervorschlag: § 4 NW_26931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https://recht.nulegal.eu/gesetze/NW_26931/4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