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NW_26931 (Nordrhein-Westfalen) — Erheblichkeitsgrenzen, sonstige Wertgrenzen(zu §§ 17 Abs. 4 Nr. 6 und22 a Abs. 3 und 7 Nrn. 1 und 4 AggerVG)</w:t>
      </w:r>
    </w:p>
    <w:p>
      <w:r>
        <w:rPr>
          <w:color w:val="555555"/>
          <w:sz w:val="18"/>
        </w:rPr>
        <w:t xml:space="preserve">Satzung für den Aggerverband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Erheblich im Sinne von § 22 a Abs. 7 Nr. 1 AggerVG ist ein Betrag, der entweder das Volumen des Erfolgsplanes um mehr als 5% überschreitet oder das des Vermögensplanes um mehr als 10% überschreitet oder ein Betrag, der das Volumen des Erfolgsplanes um mehr als 1% überschreitet und eine Änderung des Vermögensplanes bedingt.</w:t>
      </w:r>
    </w:p>
    <w:p>
      <w:r>
        <w:t xml:space="preserve">(2) Erheblich im Sinne von § 22 a Abs. 7 Nr. 4 AggerVG ist eine Vermehrung der in der Stellenübersicht vorgesehenen Stellen von mehr als 1%. Erheblich im Sinne dieser Vorschrift ist eine Hebung der in der Stellenübersicht vorgesehenen Stellen, wenn sie eine Steigerung des Volumens der Personalausgaben von mehr als 1% ausmacht.</w:t>
      </w:r>
    </w:p>
    <w:p>
      <w:r>
        <w:t xml:space="preserve">(3) Mehrausgaben für Einzelvorhaben im Vermögensplan bedürfen gemäß §§ 22 a Abs. 3 AggerVG i. V. m. 16 Abs. 5 EigVO der Zustimmung des Verbandsrates, wenn sie 10% des Betrages des Einzelvorhabens überschreiten.</w:t>
      </w:r>
    </w:p>
    <w:p>
      <w:r>
        <w:t xml:space="preserve">(4) Erfolgsgefährdende Mehraufwendungen im Sinne von §§ 17 Abs. 4 Nr. 6 AggerVG i. V. m. 15 Abs. 3 EigVO liegen vor, wenn der Anteil eines Geschäftsbereichs am Volumen des Erfolgsplanes um mehr als 1%, mindestens jedoch um 65.000 Euro überschritten wird.</w:t>
      </w:r>
    </w:p>
    <w:p>
      <w:r>
        <w:t xml:space="preserve">Eine Erhöhung der Umlage im laufenden Wirtschaftsjahr ist ausgeschlossen.</w:t>
      </w:r>
    </w:p>
    <w:p>
      <w:r>
        <w:rPr>
          <w:color w:val="555555"/>
          <w:sz w:val="17"/>
        </w:rPr>
        <w:t xml:space="preserve">Zitiervorschlag: § 13 NW_26931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https://recht.nulegal.eu/gesetze/NW_26931/13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