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NW_26929 (Nordrhein-Westfalen) — Kassenkredit</w:t>
      </w:r>
    </w:p>
    <w:p>
      <w:r>
        <w:rPr>
          <w:color w:val="555555"/>
          <w:sz w:val="18"/>
        </w:rPr>
        <w:t xml:space="preserve">NRW AGWVG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darf Kredite zur rechtzeitigen Leistung von Ausgaben des Verwaltungshaushalts (Kassenkredite) bis zu der von der Aufsichtsbehörde nach § 75 Abs. 3 des Wasserverbandsgesetzes (WVG) genehmigten Höhe aufnehmen.</w:t>
      </w:r>
    </w:p>
    <w:p>
      <w:r>
        <w:t xml:space="preserve">(2) Der Kassenkredit ist spätestens innerhalb von 9 Monaten zu tilgen.</w:t>
      </w:r>
    </w:p>
    <w:p>
      <w:r>
        <w:t xml:space="preserve">Dritter Abschnitt</w:t>
      </w:r>
    </w:p>
    <w:p>
      <w:r>
        <w:t xml:space="preserve">Wirtschaftsführung</w:t>
      </w:r>
    </w:p>
    <w:p>
      <w:r>
        <w:rPr>
          <w:color w:val="555555"/>
          <w:sz w:val="17"/>
        </w:rPr>
        <w:t xml:space="preserve">Zitiervorschlag: § 7 NW_26929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