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NW_26929 (Nordrhein-Westfalen) — Haushaltsführung</w:t>
      </w:r>
    </w:p>
    <w:p>
      <w:r>
        <w:rPr>
          <w:color w:val="555555"/>
          <w:sz w:val="18"/>
        </w:rPr>
        <w:t xml:space="preserve">NRW AGWVG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Einnahmen und Ausgaben sind in zeitlicher Reihenfolge getrennt voneinander in voller Höhe zu verbuchen und zu belegen.</w:t>
      </w:r>
    </w:p>
    <w:p>
      <w:r>
        <w:t xml:space="preserve">(2) Personal- und Betriebsausgaben sind nach wesentlichen Ausgabearten getrennt voneinander auszuweisen.</w:t>
      </w:r>
    </w:p>
    <w:p>
      <w:r>
        <w:t xml:space="preserve">(3) Die Belege müssen die im Geschäftsverkehr üblichen Angaben enthalten, die Ausgabebelege mindestens den Zahlungsempfänger, Grund und Tag der Zahlung sowie bei Erwerb von Gegenständen auch den Verwendungszweck.</w:t>
      </w:r>
    </w:p>
    <w:p>
      <w:r>
        <w:t xml:space="preserve">(4) Einnahme- und Ausgabebelege sind fünf Jahre, Belege zu Investitionsmaßnahmen zehn Jahre lang aufzubewahren, soweit nicht nach steuerrechtlichen oder anderen Vorschriften eine längere Aufbewahrungsfrist gilt.</w:t>
      </w:r>
    </w:p>
    <w:p>
      <w:r>
        <w:rPr>
          <w:color w:val="555555"/>
          <w:sz w:val="17"/>
        </w:rPr>
        <w:t xml:space="preserve">Zitiervorschlag: § 5 NW_26929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https://recht.nulegal.eu/gesetze/NW_26929/5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