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NW_26929 (Nordrhein-Westfalen) — Vermögen</w:t>
      </w:r>
    </w:p>
    <w:p>
      <w:r>
        <w:rPr>
          <w:color w:val="555555"/>
          <w:sz w:val="18"/>
        </w:rPr>
        <w:t xml:space="preserve">NRW AGWVG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Dem Haushaltsplan ist als Anlage eine Zusammenstellung des Kapital-, Anlagen- und Grundvermögens (Vermögensübersicht) beizufügen. Grundvermögen ist nur für die Grundstücke zu bewerten, die nicht unmittelbar der Durchführung der Verbandsaufgaben dienen.</w:t>
      </w:r>
    </w:p>
    <w:p>
      <w:r>
        <w:t xml:space="preserve">(2) Der Verband hat sein Vermögen aus den ordentlichen Einnahmen des Verwaltungshaushalts zu unterhalten.</w:t>
      </w:r>
    </w:p>
    <w:p>
      <w:r>
        <w:rPr>
          <w:color w:val="555555"/>
          <w:sz w:val="17"/>
        </w:rPr>
        <w:t xml:space="preserve">Zitiervorschlag: § 4 NW_26929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https://recht.nulegal.eu/gesetze/NW_26929/4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