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NW_26929 (Nordrhein-Westfalen) — Aufgaben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Wasser- und Bodenverbände können neben den in § 2 des Wasserverbandsgesetzes vom 12. Februar 1991 (BGBl. I S. 405) in der jeweils geltenden Fassung beschriebenen Aufgaben die Aufgabe übernehmen, Maßnahmen nach § 31 Absatz 5 Satz 2 des Landeswassergesetzes vom 25. Juni 1995 (GV. NRW. S. 133) in der jeweils geltenden Fassung ihrer Mitglieder zu organisieren und zu koordinieren.</w:t>
      </w:r>
    </w:p>
    <w:p>
      <w:r>
        <w:t xml:space="preserve">(2) Die Aufgabe der Abwasserbeseitigung nach § 2 Nummer 9 des Wasserverbandsgesetzes erfolgt nach Maßgabe des Landeswassergesetzes.</w:t>
      </w:r>
    </w:p>
    <w:p>
      <w:r>
        <w:rPr>
          <w:color w:val="555555"/>
          <w:sz w:val="17"/>
        </w:rPr>
        <w:t xml:space="preserve">Zitiervorschlag: § 16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