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NW_26928 (Nordrhein-Westfalen)</w:t>
      </w:r>
    </w:p>
    <w:p>
      <w:r>
        <w:rPr>
          <w:color w:val="555555"/>
          <w:sz w:val="18"/>
        </w:rPr>
        <w:t xml:space="preserve">Bekanntmachung des Verwaltungsabkommens über die Bestimmung der zuständigen Behörde für die Festsetzung eines Wasserschutzgebietes 'Haddorf'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Verwaltungsabkommen tritt zum Zeitpunkt der letzten Unterzeichnung in Kraft.</w:t>
      </w:r>
    </w:p>
    <w:p>
      <w:r>
        <w:t xml:space="preserve">Düsseldorf, den 1. Februar 1995</w:t>
      </w:r>
    </w:p>
    <w:p>
      <w:r>
        <w:t xml:space="preserve">Für das Land Nordrhein-Westfalen</w:t>
      </w:r>
    </w:p>
    <w:p>
      <w:r>
        <w:t xml:space="preserve">Namens des Ministerpräsidenten</w:t>
      </w:r>
    </w:p>
    <w:p>
      <w:r>
        <w:t xml:space="preserve">Der Minister für Umwelt,</w:t>
      </w:r>
    </w:p>
    <w:p>
      <w:r>
        <w:t xml:space="preserve">Raumordnung und Landwirtschaft</w:t>
      </w:r>
    </w:p>
    <w:p>
      <w:r>
        <w:t xml:space="preserve">Klaus Matthiesen</w:t>
      </w:r>
    </w:p>
    <w:p>
      <w:r>
        <w:t xml:space="preserve">Hannover, den 21. Dezember 1994</w:t>
      </w:r>
    </w:p>
    <w:p>
      <w:r>
        <w:t xml:space="preserve">Für das Land Niedersachsen</w:t>
      </w:r>
    </w:p>
    <w:p>
      <w:r>
        <w:t xml:space="preserve">für den Niedersächsischen</w:t>
      </w:r>
    </w:p>
    <w:p>
      <w:r>
        <w:t xml:space="preserve">Ministerpräsidenten</w:t>
      </w:r>
    </w:p>
    <w:p>
      <w:r>
        <w:t xml:space="preserve">Niedersächsisches Umweltministerium</w:t>
      </w:r>
    </w:p>
    <w:p>
      <w:r>
        <w:t xml:space="preserve">Griefahn</w:t>
      </w:r>
    </w:p>
    <w:p>
      <w:r>
        <w:rPr>
          <w:color w:val="555555"/>
          <w:sz w:val="17"/>
        </w:rPr>
        <w:t xml:space="preserve">Zitiervorschlag: § 3 NW_26928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https://recht.nulegal.eu/gesetze/NW_26928/3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