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NW_26925 (Nordrhein-Westfalen) — Bekanntmachung(Zu § 33 NiersVG)</w:t>
      </w:r>
    </w:p>
    <w:p>
      <w:r>
        <w:rPr>
          <w:color w:val="555555"/>
          <w:sz w:val="18"/>
        </w:rPr>
        <w:t xml:space="preserve">Niersverbandssatzung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Bekanntmachungen des Verbandes werden vom Vorstand unterzeichnet.</w:t>
      </w:r>
    </w:p>
    <w:p>
      <w:r>
        <w:t xml:space="preserve">(2) Bekanntmachungen des Niersverbandes an seine Mitglieder erfolgen durch Zusendung verschlossenen einfachen Briefs. Auslegungen erfolgen in der Geschäftsstelle des Verbandes.</w:t>
      </w:r>
    </w:p>
    <w:p>
      <w:r>
        <w:t xml:space="preserve">(3) Die für die Öffentlichkeit bestimmten Bekanntmachungen werden durch Abdruck in den Amtsblättern für die Bezirksregierungen Düsseldorf und Köln veröffentlicht, soweit nicht besonders bestimmt (§ 8 Abs. 1 dieser Satzung). § 11 Abs. 4 NiersVG bleibt unberührt.</w:t>
      </w:r>
    </w:p>
    <w:p>
      <w:r>
        <w:rPr>
          <w:color w:val="555555"/>
          <w:sz w:val="17"/>
        </w:rPr>
        <w:t xml:space="preserve">Zitiervorschlag: § 29 NW_26925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https://recht.nulegal.eu/gesetze/NW_26925/29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