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NW_26925 (Nordrhein-Westfalen) — Sonderbeiträge und Auftragsmaßnahmen</w:t>
      </w:r>
    </w:p>
    <w:p>
      <w:r>
        <w:rPr>
          <w:color w:val="555555"/>
          <w:sz w:val="18"/>
        </w:rPr>
        <w:t xml:space="preserve">Niersverbandssatzung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Aufwendungen für Verbandsanlagen und -maßnahmen, aus denen einzelnen Mitgliedern ein Sondervorteil erwächst oder die in besonderen Verhältnissen eines dieser Mitglieder ihren Grund finden, werden auf diese Mitglieder umgelegt (Sonderbeiträge: S-Beiträge). § 23 Abs. 5 der Satzung bleibt unberührt.</w:t>
      </w:r>
    </w:p>
    <w:p>
      <w:r>
        <w:t xml:space="preserve">(2) Die Aufwendungen für Auftragsmaßnahmen im Sinne von § 2 Abs. 4 NiersVG werden nicht im Wege der Veranlagung eingezogen, sondern von den Auftraggebern aufgrund eines mit ihnen abzuschließenden privatrechtlichen Vertrages ersetzt.</w:t>
      </w:r>
    </w:p>
    <w:p>
      <w:r>
        <w:rPr>
          <w:color w:val="555555"/>
          <w:sz w:val="17"/>
        </w:rPr>
        <w:t xml:space="preserve">Zitiervorschlag: § 26 NW_26925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https://recht.nulegal.eu/gesetze/NW_26925/26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NW_26925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