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12a NW_26924 (Nordrhein-Westfalen) — Virtuelle Verbandsratssitzung(zu § 18 Abs. 8WupperVG)</w:t>
      </w:r>
    </w:p>
    <w:p>
      <w:r>
        <w:rPr>
          <w:color w:val="555555"/>
          <w:sz w:val="18"/>
        </w:rPr>
        <w:t xml:space="preserve">Satzung des Wupperverbandes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den Fall, dass unter den Voraussetzungen des § 15 Abs. 11 WupperVG eine virtuelle Verbandsratssitzung stattfindet, wird diese über ein vom Vorstand zu bestimmendes Konferenzsystem durchgeführt, das den Anforderungen nach § 15 Abs. 11 Satz 1 Ziff. 1 bis 3 WupperVG entspricht, wobei auf eine Bildübertragung verzichtet werden kann. Das Konferenzsystem soll verfügbar sein, ohne zusätzliche Software installieren zu müssen. § 11 a Abs. 2 und 3 gelten entsprechend.</w:t>
      </w:r>
    </w:p>
    <w:p>
      <w:r>
        <w:rPr>
          <w:color w:val="555555"/>
          <w:sz w:val="17"/>
        </w:rPr>
        <w:t xml:space="preserve">Zitiervorschlag: § 12a NW_26924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https://recht.nulegal.eu/gesetze/NW_26924/12a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12a NW_26924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