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NW_26923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zur Festsetzung eines Wasserschutzgebietes 'Wiehltalsperre'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Verwaltungsabkommen tritt zum Zeitpunkt der letzten Unterzeichnung in Kraft.</w:t>
      </w:r>
    </w:p>
    <w:p>
      <w:r>
        <w:t xml:space="preserve">Düsseldorf, den 16. Dezember 1993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Minister für Umwelt,</w:t>
      </w:r>
    </w:p>
    <w:p>
      <w:r>
        <w:t xml:space="preserve">Raumordnung und Landwirtschaft</w:t>
      </w:r>
    </w:p>
    <w:p>
      <w:r>
        <w:t xml:space="preserve">Klaus Matthiesen</w:t>
      </w:r>
    </w:p>
    <w:p>
      <w:r>
        <w:t xml:space="preserve">Mainz, den 6. Oktober 1993</w:t>
      </w:r>
    </w:p>
    <w:p>
      <w:r>
        <w:t xml:space="preserve">Für das Land Rheinland-Pfalz</w:t>
      </w:r>
    </w:p>
    <w:p>
      <w:r>
        <w:t xml:space="preserve">Namens des Ministerpräsidenten</w:t>
      </w:r>
    </w:p>
    <w:p>
      <w:r>
        <w:t xml:space="preserve">Die Ministerin für Umwelt</w:t>
      </w:r>
    </w:p>
    <w:p>
      <w:r>
        <w:t xml:space="preserve">Klaudia Martini</w:t>
      </w:r>
    </w:p>
    <w:p>
      <w:r>
        <w:rPr>
          <w:color w:val="555555"/>
          <w:sz w:val="17"/>
        </w:rPr>
        <w:t xml:space="preserve">Zitiervorschlag: § 3 NW_26923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