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NW_26922 (Nordrhein-Westfalen) — Pflichten der Mitglieder(§ 46 ErftVG)</w:t>
      </w:r>
    </w:p>
    <w:p>
      <w:r>
        <w:rPr>
          <w:color w:val="555555"/>
          <w:sz w:val="18"/>
        </w:rPr>
        <w:t xml:space="preserve">Satzung des Erftverbandes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Maßnahmen der Mitglieder, die Auswirkungen auf die Wasserwirtschaft im Verbandsgebiet haben können, sind von den Mitgliedern dem Verband rechtzeitig anzuzeigen und mit ihm zu beraten.</w:t>
      </w:r>
    </w:p>
    <w:p>
      <w:r>
        <w:rPr>
          <w:color w:val="555555"/>
          <w:sz w:val="17"/>
        </w:rPr>
        <w:t xml:space="preserve">Zitiervorschlag: § 14 NW_26922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https://recht.nulegal.eu/gesetze/NW_26922/14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