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NW_26922 (Nordrhein-Westfalen) — Jahresabschluss, Rechnungsprüfung (§ 23 Abs. 2 Ziffer 4., 32 Abs. 2 ErftVG)</w:t>
      </w:r>
    </w:p>
    <w:p>
      <w:r>
        <w:rPr>
          <w:color w:val="555555"/>
          <w:sz w:val="18"/>
        </w:rPr>
        <w:t xml:space="preserve">Satzung des Erftverbandes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Delegiertenversammlung wählt jeweils aus der Mitte im voraus für ein Wirtschaftsjahr drei Rechnungsprüferinnen oder -prüfer; sie sollen unterschiedlichen Mitgliedergruppen angehören. Wiederwahl ist zulässig.</w:t>
      </w:r>
    </w:p>
    <w:p>
      <w:r>
        <w:t xml:space="preserve">(2) Die externe Prüfstelle für die Prüfung des Jahresabschlusses ist eine Wirtschaftsprüfungsgesellschaft, die die Grundsätze ordnungsgemäßer Abschlussprüfungen zu beachten hat.</w:t>
      </w:r>
    </w:p>
    <w:p>
      <w:r>
        <w:t xml:space="preserve">(3) Der Vorstand stellt in den ersten sechs Monaten des neuen Wirtschaftsjahres den Jahresabschluss auf und legt diesen den von der Delegiertenversammlung bestellten externen Prüfstelle und den gewählten Rechnungsprüferinnen oder -prüfern vor. Der Jahresabschluss wird dem Verbandsrat zur Kenntnis zugeleitet.</w:t>
      </w:r>
    </w:p>
    <w:p>
      <w:r>
        <w:t xml:space="preserve">(4) Der Prüfbericht der externen Prüfstelle ist vom Vorstand den von der Delegiertenversammlung gewählten Rechnungsprüferinnen oder -prüfern vorzulegen. Sie erstatten der für die Entlastung des Vorstandes vorgesehenen Delegiertenversammlung Bericht über das Ergebnis der Prüfung und schlagen gegebenenfalls der Versammlung die Entlastung des Vorstandes vor.</w:t>
      </w:r>
    </w:p>
    <w:p>
      <w:r>
        <w:t xml:space="preserve">(5) Der Verband hat eine interne Revision, die dem Vorstand direkt unterstellt ist. Diese erbringt unabhängige und objektive Prüfungs- und Beratungsleistungen. Sie prüft insbesondere</w:t>
      </w:r>
    </w:p>
    <w:p>
      <w:r>
        <w:t xml:space="preserve">- die Einhaltung von gesetzlichen und internen Regelungen</w:t>
      </w:r>
    </w:p>
    <w:p>
      <w:r>
        <w:t xml:space="preserve">- die Angemessenheit und Wirksamkeit des internen Kontrollsystems</w:t>
      </w:r>
    </w:p>
    <w:p>
      <w:r>
        <w:t xml:space="preserve">- den Zahlungsverkehr</w:t>
      </w:r>
    </w:p>
    <w:p>
      <w:r>
        <w:t xml:space="preserve">- Vergaben</w:t>
      </w:r>
    </w:p>
    <w:p>
      <w:r>
        <w:t xml:space="preserve">- das Vermögen</w:t>
      </w:r>
    </w:p>
    <w:p>
      <w:r>
        <w:t xml:space="preserve">- die Wirtschaftlichkeit und Zweckmäßigkeit von Geschäftsprozessen.</w:t>
      </w:r>
    </w:p>
    <w:p>
      <w:r>
        <w:t xml:space="preserve">Die interne Revision ist fachlich unabhängig von Weisungen.</w:t>
      </w:r>
    </w:p>
    <w:p>
      <w:r>
        <w:t xml:space="preserve">Näheres über Organisation, Gegenstand sowie Art und Umfang der internen Revision regelt die Revisionsordnung.</w:t>
      </w:r>
    </w:p>
    <w:p>
      <w:r>
        <w:rPr>
          <w:color w:val="555555"/>
          <w:sz w:val="17"/>
        </w:rPr>
        <w:t xml:space="preserve">Zitiervorschlag: § 13 NW_26922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