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NW_26922 (Nordrhein-Westfalen) — Rücklagen(§§ 30a Abs. 3, 32 Abs. 1 ErftVG)</w:t>
      </w:r>
    </w:p>
    <w:p>
      <w:r>
        <w:rPr>
          <w:color w:val="555555"/>
          <w:sz w:val="18"/>
        </w:rPr>
        <w:t xml:space="preserve">Satzung des Erftverbandes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Verband hat zur Sicherung der Wirtschaftsführung Rücklagen in angemessener Höhe zu bilden. Der Nachweis der Rücklagen ist dem Wirtschaftsplan als Anlage beizufügen.</w:t>
      </w:r>
    </w:p>
    <w:p>
      <w:r>
        <w:t xml:space="preserve">(2) Die Rücklagen sollen sicher und ertragsbringend angelegt werden.</w:t>
      </w:r>
    </w:p>
    <w:p>
      <w:r>
        <w:rPr>
          <w:color w:val="555555"/>
          <w:sz w:val="17"/>
        </w:rPr>
        <w:t xml:space="preserve">Zitiervorschlag: § 12 NW_26922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https://recht.nulegal.eu/gesetze/NW_26922/12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