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NW_26922 (Nordrhein-Westfalen) — (§§ 52 Abs. 2 LWG, § 4 Abs. 2 ErftVG)</w:t>
      </w:r>
    </w:p>
    <w:p>
      <w:r>
        <w:rPr>
          <w:color w:val="555555"/>
          <w:sz w:val="18"/>
        </w:rPr>
        <w:t xml:space="preserve">Satzung des Erftverbandes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übernommenen Aufgaben, deren Erledigung dem ausschließlichen Vorteil eines einzelnen Mitglieds dienen, werden die dafür entstehenden Sach-, Personal-, und Finanzaufwendungen und die damit erzielten Erträge in einem eigenen Geschäftsbereich geführt, gesondert ausgewiesen und einzelveranlagt dem jeweiligen Mitglied durch Beiträge weiterberechnet. Sofern die übernommenen Aufgaben ganz oder zum Teil im Interesse mehrerer oder aller Mitglieder liegen, werden die dafür entstehenden Sach-, Personal, und Finanzaufwendungen abzüglich der damit erzielten Erträge nach den jeweils in den Veranlagungsregeln festgelegten Verteilungsmaßstäben auf die jeweils vorteilhabenden Mitglieder bzw. Mitgliedergruppen umgelegt.</w:t>
      </w:r>
    </w:p>
    <w:p>
      <w:r>
        <w:rPr>
          <w:color w:val="555555"/>
          <w:sz w:val="17"/>
        </w:rPr>
        <w:t xml:space="preserve">Zitiervorschlag: § 10a NW_26922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https://recht.nulegal.eu/gesetze/NW_26922/10a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