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NW_26921 (Nordrhein-Westfalen) — Mitglieder des Verbandes(§ 6 Abs. 2 und 3 Eifel-RurVG)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 Mitgliedschaft in den Fällen des § 6 Abs. 1 Satz 1 Nr. 4 und Satz 2 Eifel-RurVG die Erreichung von Mindestbeiträgen voraussetzt, werden folgende Beitragsgruppen gebildet:</w:t>
      </w:r>
    </w:p>
    <w:p>
      <w:r>
        <w:t xml:space="preserve">- Talsperren (Eifeltalsperren und Staubecken)</w:t>
      </w:r>
    </w:p>
    <w:p>
      <w:r>
        <w:t xml:space="preserve">- Gewässer (fließende Gewässer und Hochwasserschutz)</w:t>
      </w:r>
    </w:p>
    <w:p>
      <w:r>
        <w:t xml:space="preserve">- Abwasserwesen.</w:t>
      </w:r>
    </w:p>
    <w:p>
      <w:r>
        <w:t xml:space="preserve">Als Mindestbeitrag wird festgesetzt:</w:t>
      </w:r>
    </w:p>
    <w:p>
      <w:r>
        <w:t xml:space="preserve">- in der Beitragsgruppe</w:t>
      </w:r>
    </w:p>
    <w:p>
      <w:r>
        <w:t xml:space="preserve">,,Talsperren (Eifeltalsperren und Staubecken)"</w:t>
      </w:r>
    </w:p>
    <w:p>
      <w:r>
        <w:t xml:space="preserve">1.000 Euro</w:t>
      </w:r>
    </w:p>
    <w:p>
      <w:r>
        <w:t xml:space="preserve">- in der Beitragsgruppe</w:t>
      </w:r>
    </w:p>
    <w:p>
      <w:r>
        <w:t xml:space="preserve">,,Gewässer (fließende Gewässer und Hochwasserschutz)"</w:t>
      </w:r>
    </w:p>
    <w:p>
      <w:r>
        <w:t xml:space="preserve">150 Euro</w:t>
      </w:r>
    </w:p>
    <w:p>
      <w:r>
        <w:t xml:space="preserve">- in der Beitragsgruppe</w:t>
      </w:r>
    </w:p>
    <w:p>
      <w:r>
        <w:t xml:space="preserve">,,Abwasserwesen"</w:t>
      </w:r>
    </w:p>
    <w:p>
      <w:r>
        <w:t xml:space="preserve">1.000 Euro</w:t>
      </w:r>
    </w:p>
    <w:p>
      <w:r>
        <w:t xml:space="preserve">(2) Das Verzeichnis der Mitglieder wird jährlich unter Berücksichtigung der festgesetzten Beitragsliste vom Vorstand aufgestellt.</w:t>
      </w:r>
    </w:p>
    <w:p>
      <w:r>
        <w:t xml:space="preserve">(3) Das jeweils gültige Mitgliederverzeichnis steht jeder oder jedem, die oder der ein berechtigtes Interesse darlegt, zur Einsicht am Sitz der Verbandsverwaltung offen.</w:t>
      </w:r>
    </w:p>
    <w:p>
      <w:r>
        <w:rPr>
          <w:color w:val="555555"/>
          <w:sz w:val="17"/>
        </w:rPr>
        <w:t xml:space="preserve">Zitiervorschlag: § 2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