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NW_26920 (Nordrhein-Westfalen)</w:t>
      </w:r>
    </w:p>
    <w:p>
      <w:r>
        <w:rPr>
          <w:color w:val="555555"/>
          <w:sz w:val="18"/>
        </w:rPr>
        <w:t xml:space="preserve">Bekanntmachung des Verwaltungsabkommens über die Bestimmung der zuständigen Behörde für die Festsetzung eines Wasserschutzgebietes 'Lohfelder Straße'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sich über das Verfahren zur Festsetzung des Wasserschutzgebietes hinaus weitere Verwaltungstätigkeiten ergeben, sind diese Aufgaben von den dafür nach Landesrecht jeweils zuständigen Behörden selbst wahrzunehmen.</w:t>
      </w:r>
    </w:p>
    <w:p>
      <w:r>
        <w:rPr>
          <w:color w:val="555555"/>
          <w:sz w:val="17"/>
        </w:rPr>
        <w:t xml:space="preserve">Zitiervorschlag: § 2 NW_26920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https://recht.nulegal.eu/gesetze/NW_26920/2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