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NW_26916 (Nordrhein-Westfalen) — Inkrafttreten</w:t>
      </w:r>
    </w:p>
    <w:p>
      <w:r>
        <w:rPr>
          <w:color w:val="555555"/>
          <w:sz w:val="18"/>
        </w:rPr>
        <w:t xml:space="preserve">Verordnung über zuständige Aufsichtsbehörden nach dem Gesetz über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 für Umwelt,</w:t>
      </w:r>
    </w:p>
    <w:p>
      <w:r>
        <w:t xml:space="preserve">Raumordnung und Landwirtschaft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196 des Dritten Befristungsgesetzes vom 5.4.2005 (GV. NRW. S. 306))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5 NW_26916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