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NW_26916 (Nordrhein-Westfalen) — Abweichende Zuständigkeiten</w:t>
      </w:r>
    </w:p>
    <w:p>
      <w:r>
        <w:rPr>
          <w:color w:val="555555"/>
          <w:sz w:val="18"/>
        </w:rPr>
        <w:t xml:space="preserve">Verordnung über zuständige Aufsichtsbehörden nach dem Gesetz über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Zuständigkeit der Aufsichtsbehörde, die das Errichtungsvorhaben nach § 14 Abs. 1 WVG öffentlich bekanntgemacht hat, wird bis zum Abschluß des Errichtungsverfahrens durch einen von den Errichtungsunterlagen abweichenden Beschluß der Beteiligten nicht berührt.</w:t>
      </w:r>
    </w:p>
    <w:p>
      <w:r>
        <w:t xml:space="preserve">(2) Die Zuständigkeit der Behörden, die aufgrund bisherigen Rechts durch besondere Entscheidung bestimmt wurde, bleibt unberührt.</w:t>
      </w:r>
    </w:p>
    <w:p>
      <w:r>
        <w:rPr>
          <w:color w:val="555555"/>
          <w:sz w:val="17"/>
        </w:rPr>
        <w:t xml:space="preserve">Zitiervorschlag: § 4 NW_26916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