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NW_26914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Genehmigung und Überwachung der mechanisch-biologischen Kläranlage Diemelstadt-Wethen sowie für die Erteilung der wasserrechtlichen Erlaubnis für die Abwassereinleitung und deren Überwachung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am 15. Januar 1992 in Kraft.</w:t>
      </w:r>
    </w:p>
    <w:p>
      <w:r>
        <w:t xml:space="preserve">Düsseldorf,</w:t>
      </w:r>
    </w:p>
    <w:p>
      <w:r>
        <w:t xml:space="preserve">den 10. November 1991</w:t>
      </w:r>
    </w:p>
    <w:p>
      <w:r>
        <w:t xml:space="preserve">Wiesbaden,</w:t>
      </w:r>
    </w:p>
    <w:p>
      <w:r>
        <w:t xml:space="preserve">den 9. Dezember 1991</w:t>
      </w:r>
    </w:p>
    <w:p>
      <w:r>
        <w:t xml:space="preserve">Für das Land</w:t>
      </w:r>
    </w:p>
    <w:p>
      <w:r>
        <w:t xml:space="preserve">Nordrhein-Westfalen</w:t>
      </w:r>
    </w:p>
    <w:p>
      <w:r>
        <w:t xml:space="preserve">der Minister für</w:t>
      </w:r>
    </w:p>
    <w:p>
      <w:r>
        <w:t xml:space="preserve">Umwelt, Raumordnung</w:t>
      </w:r>
    </w:p>
    <w:p>
      <w:r>
        <w:t xml:space="preserve">und Landwirtschaft</w:t>
      </w:r>
    </w:p>
    <w:p>
      <w:r>
        <w:t xml:space="preserve">Klaus Matthiesen</w:t>
      </w:r>
    </w:p>
    <w:p>
      <w:r>
        <w:t xml:space="preserve">Für das Land Hessen</w:t>
      </w:r>
    </w:p>
    <w:p>
      <w:r>
        <w:t xml:space="preserve">der Hessische Minister für</w:t>
      </w:r>
    </w:p>
    <w:p>
      <w:r>
        <w:t xml:space="preserve">Umwelt, Energie und</w:t>
      </w:r>
    </w:p>
    <w:p>
      <w:r>
        <w:t xml:space="preserve">Bundesangelegenheiten</w:t>
      </w:r>
    </w:p>
    <w:p>
      <w:r>
        <w:t xml:space="preserve">J. Fischer</w:t>
      </w:r>
    </w:p>
    <w:p>
      <w:r>
        <w:rPr>
          <w:color w:val="555555"/>
          <w:sz w:val="17"/>
        </w:rPr>
        <w:t xml:space="preserve">Zitiervorschlag: § 4 NW_26914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