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NW_26914 (Nordrhein-Westfalen)</w:t>
      </w:r>
    </w:p>
    <w:p>
      <w:r>
        <w:rPr>
          <w:color w:val="555555"/>
          <w:sz w:val="18"/>
        </w:rPr>
        <w:t xml:space="preserve">Bekanntmachung des Verwaltungsabkommens über die Bestimmung der zuständigen Behörde für die Genehmigung und Überwachung der mechanisch-biologischen Kläranlage Diemelstadt-Wethen sowie für die Erteilung der wasserrechtlichen Erlaubnis für die Abwassereinleitung und deren Überwachung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sich im Zusammenhang mit der Genehmigung und dem Betrieb oder als dessen Folge sonstige Verwaltungstätigkeiten ergeben, sind die entsprechenden Aufgaben von den dafür nach Landesrecht jeweils zuständigen Behörden selbst wahrzunehmen.</w:t>
      </w:r>
    </w:p>
    <w:p>
      <w:r>
        <w:rPr>
          <w:color w:val="555555"/>
          <w:sz w:val="17"/>
        </w:rPr>
        <w:t xml:space="preserve">Zitiervorschlag: § 2 NW_26914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https://recht.nulegal.eu/gesetze/NW_26914/2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