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NW_26913 (Nordrhein-Westfalen) — Sitzungen der Genossenschaftsversammlung(Zu § 15 Abs. 2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Einladungen zu den Sitzungen der Genossenschaftsversammlung erhalten zusätzlich zu den in § 15 Abs. 1, 3, 8 und 10 LINEGG genannten Personen die übrigen Dezernentinnen oder Dezernenten der Genossenschaftsverwaltung.</w:t>
      </w:r>
    </w:p>
    <w:p>
      <w:r>
        <w:t xml:space="preserve">(2) Die Sitzungen der Genossenschaftsversammlung sind gemäß § 15 Abs. 2 LINEGG grundsätzlich öffentlich. Bei Angelegenheiten, die für Beratungen in öffentlicher Sitzung nicht geeignet sind, kann auf Beschluß der Genossenschaftsversammlung die Öffentlichkeit ausgeschlossen werden.</w:t>
      </w:r>
    </w:p>
    <w:p>
      <w:r>
        <w:t xml:space="preserve">(3) Das Nähere über Sitzungen der Genossenschaftsversammlung wird durch eine Geschäftsordnung geregelt.</w:t>
      </w:r>
    </w:p>
    <w:p>
      <w:r>
        <w:rPr>
          <w:color w:val="555555"/>
          <w:sz w:val="17"/>
        </w:rPr>
        <w:t xml:space="preserve">Zitiervorschlag: § 9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