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NW_26913 (Nordrhein-Westfalen) — Wirtschaftsführung(Zu § 22 a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 wirtschaftet nach einem kaufmännischen Rechnungswesen.</w:t>
      </w:r>
    </w:p>
    <w:p>
      <w:r>
        <w:t xml:space="preserve">(2) Für die Wirtschaftsführung ist § 22 a LINEGG maßgebend. Die Erheblichkeitsgrenze i.S.d. § 22a Abs. 5 Nr. 5 LINEGG sowie sonstige Wertgrenzen (§ 17 Abs. 4 Nr. 6 LINEGG; § 22a Abs. 3 Sätze 1 und 3 LINEGG i. V. m. § 16 Abs. 5 Satz 1 EigVO) bestimmt der Genossenschaftsrat in Form einer Richtlinie. Die übrigen Einzelheiten legt der Vorstand in einer Dienstanweisung zur Wirtschaftsführung fest.</w:t>
      </w:r>
    </w:p>
    <w:p>
      <w:r>
        <w:rPr>
          <w:color w:val="555555"/>
          <w:sz w:val="17"/>
        </w:rPr>
        <w:t xml:space="preserve">Zitiervorschlag: § 13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