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NW_26913 (Nordrhein-Westfalen) — Geschäfte von herausragender Bedeutung(Zu § 17 Abs. 5 Nr. 12 und § 20 Abs. 1 und 2 LINEGG)</w:t>
      </w:r>
    </w:p>
    <w:p>
      <w:r>
        <w:rPr>
          <w:color w:val="555555"/>
          <w:sz w:val="18"/>
        </w:rPr>
        <w:t xml:space="preserve">LINEG-Satzung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Geschäfte und sonstige Angelegenheiten mit verpflichtender oder begünstigender Wirkung für die Genossenschaft haben nach § 17 Abs. 5 Nr. 12 LINEGG herausragende Bedeutung, wenn sie im Einzelfall den Gesamtbetrag von 500.000,- EUR überschreiten und nicht durch den festgestellten Wirtschaftsplan bestimmt oder in anderer Form den Entscheidungen von Genossenschaftsversammlung oder Genossenschaftsrat vorbehalten sind. § 23 LINEGG bleibt unberührt.</w:t>
      </w:r>
    </w:p>
    <w:p>
      <w:r>
        <w:t xml:space="preserve">(2) Zu den Geschäften und sonstigen Angelegenheiten von herausragender Bedeutung gehören abweichend von Absatz 1 Neubaumaßnahmen auch dann, wenn der Genossenschaftsrat den für diese Maßnahmen erforderlichen Bau- bzw. Maßnahmeplänen noch nicht gemäß § 17 Abs. 5 Ziff. 2 LINEGG zugestimmt hat.</w:t>
      </w:r>
    </w:p>
    <w:p>
      <w:r>
        <w:rPr>
          <w:color w:val="555555"/>
          <w:sz w:val="17"/>
        </w:rPr>
        <w:t xml:space="preserve">Zitiervorschlag: § 12 NW_26913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https://recht.nulegal.eu/gesetze/NW_26913/12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