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22 NW_26912 (Nordrhein-Westfalen) — Genehmigung von Geschäften(zu § 38 Abs. 1 LippeVG)</w:t>
      </w:r>
    </w:p>
    <w:p>
      <w:r>
        <w:rPr>
          <w:color w:val="555555"/>
          <w:sz w:val="18"/>
        </w:rPr>
        <w:t xml:space="preserve">Satzung für den Lippeverband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Als erheblicher Wert nach § 38 Abs. 1 Nr. 2 LippeVG gelten</w:t>
      </w:r>
    </w:p>
    <w:p>
      <w:r>
        <w:t xml:space="preserve">- bei der unentgeltlichen Veräußerung von Vermögensgegenständen 25 000 Euro</w:t>
      </w:r>
    </w:p>
    <w:p>
      <w:r>
        <w:t xml:space="preserve">- bei der unentgeltlichen Überlassung der Nutzung von Vermögensgegenständen auf Dauer jährlich 2.500 Euro.</w:t>
      </w:r>
    </w:p>
    <w:p>
      <w:r>
        <w:rPr>
          <w:color w:val="555555"/>
          <w:sz w:val="17"/>
        </w:rPr>
        <w:t xml:space="preserve">Zitiervorschlag: § 22 NW_26912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https://recht.nulegal.eu/gesetze/NW_26912/22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22 NW_26912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