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NW_26911 (Nordrhein-Westfalen)</w:t>
      </w:r>
    </w:p>
    <w:p>
      <w:r>
        <w:rPr>
          <w:color w:val="555555"/>
          <w:sz w:val="18"/>
        </w:rPr>
        <w:t xml:space="preserve">Satzung für die Emschergenossenschaft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22. Januar 1991</w:t>
      </w:r>
    </w:p>
    <w:p>
      <w:r>
        <w:t xml:space="preserve">Die Genossenschaftsversammlung hat aufgrund des § 9 Abs. 1 i. V. mit §§ 10 und 13 Abs. 1 des Gesetzes über die Emschergenossenschaft (EmscherGG) vom 7. Februar 1990 (GV. NW. S. 144) am 29. November 1990 die folgende Satzung beschlossen:</w:t>
      </w:r>
    </w:p>
    <w:p>
      <w:r>
        <w:rPr>
          <w:color w:val="555555"/>
          <w:sz w:val="17"/>
        </w:rPr>
        <w:t xml:space="preserve">Zitiervorschlag: Volltext NW_26911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https://recht.nulegal.eu/gesetze/NW_26911/volltext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NW_26911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