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NW_26911 (Nordrhein-Westfalen) — Sitz der Genossenschaft(zu § 1 Abs. 2 EmscherGG)</w:t>
      </w:r>
    </w:p>
    <w:p>
      <w:r>
        <w:rPr>
          <w:color w:val="555555"/>
          <w:sz w:val="18"/>
        </w:rPr>
        <w:t xml:space="preserve">Satzung für die Emschergenossenschaft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Emschergenossenschaft hat ihren Sitz in Essen.</w:t>
      </w:r>
    </w:p>
    <w:p>
      <w:r>
        <w:rPr>
          <w:color w:val="555555"/>
          <w:sz w:val="17"/>
        </w:rPr>
        <w:t xml:space="preserve">Zitiervorschlag: § 1 NW_26911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