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NW_26903 (Nordrhein-Westfalen)</w:t>
      </w:r>
    </w:p>
    <w:p>
      <w:r>
        <w:rPr>
          <w:color w:val="555555"/>
          <w:sz w:val="18"/>
        </w:rPr>
        <w:t xml:space="preserve">Gesetz zur Durchführung des Vertrages vom 26. März 1982 zwischen der Bundesrepublik Deutschland und dem Königreich Belgien über die Berichtigung der deutsch-belgischen Grenze im Bereich der regulierten Grenzgewässer Breitenbach und Schwarzbach, Kreise Aachen und Malmedy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nach § 1 eingegliederten Gebietsteilen treten mit dem Zeitpunkt der Eingliederung alle Vorschriften des Landesrechts in Kraft, die in der Stadt Monschau gelten.</w:t>
      </w:r>
    </w:p>
    <w:p>
      <w:r>
        <w:t xml:space="preserve">(2) Der Tag, an dem der Vertrag nach seinem Artikel 7 in Kraft tritt, ist im Ministerialblatt für das Land Nordrhein-Westfalen bekanntzugeben.</w:t>
      </w:r>
    </w:p>
    <w:p>
      <w:r>
        <w:rPr>
          <w:color w:val="555555"/>
          <w:sz w:val="17"/>
        </w:rPr>
        <w:t xml:space="preserve">Zitiervorschlag: § 2 NW_26903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