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NW_26895 (Nordrhein-Westfalen) — Staatliche Zwangsbefugnisse</w:t>
      </w:r>
    </w:p>
    <w:p>
      <w:r>
        <w:rPr>
          <w:color w:val="555555"/>
          <w:sz w:val="18"/>
        </w:rPr>
        <w:t xml:space="preserve">ErftVG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Im Falle des § 52 Abs. 1 ist die zuständige Bezirksregierung berechtigt, gegen die verantwortlichen Inhaber und Leiter von Betrieben und Anlagen sowie die Vorsteher oder gesetzlichen Vertreter öffentlich-rechtlicher Körperschaften und Anstalten zur Erzwingung der erforderten Handlung oder Duldung ein Zwangsgeld bis zum Betrage von 25 000 Euro festzusetzen.</w:t>
      </w:r>
    </w:p>
    <w:p>
      <w:r>
        <w:t xml:space="preserve">Elfter Teil</w:t>
      </w:r>
    </w:p>
    <w:p>
      <w:r>
        <w:t xml:space="preserve">Rechtsaufsicht</w:t>
      </w:r>
    </w:p>
    <w:p>
      <w:r>
        <w:rPr>
          <w:color w:val="555555"/>
          <w:sz w:val="17"/>
        </w:rPr>
        <w:t xml:space="preserve">Zitiervorschlag: § 53 NW_26895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https://recht.nulegal.eu/gesetze/NW_26895/53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