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NW_26895 (Nordrhein-Westfalen) — Vollstreckungsbehörde</w:t>
      </w:r>
    </w:p>
    <w:p>
      <w:r>
        <w:rPr>
          <w:color w:val="555555"/>
          <w:sz w:val="18"/>
        </w:rPr>
        <w:t xml:space="preserve">ErftVG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Beitreibung des Zwangsgeldes sowie der vorläufig geschätzten und tatsächlich entstandenen Kosten (§ 47 Abs. 1) gilt § 40 Abs. 2.</w:t>
      </w:r>
    </w:p>
    <w:p>
      <w:r>
        <w:t xml:space="preserve">Zehnter Teil</w:t>
      </w:r>
    </w:p>
    <w:p>
      <w:r>
        <w:t xml:space="preserve">Bekanntmachungen, Verordnungen,</w:t>
      </w:r>
    </w:p>
    <w:p>
      <w:r>
        <w:t xml:space="preserve">Auskunft</w:t>
      </w:r>
    </w:p>
    <w:p>
      <w:r>
        <w:rPr>
          <w:color w:val="555555"/>
          <w:sz w:val="17"/>
        </w:rPr>
        <w:t xml:space="preserve">Zitiervorschlag: § 49 NW_26895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https://recht.nulegal.eu/gesetze/NW_26895/49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